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4E" w:rsidRDefault="0064414E" w:rsidP="0064414E">
      <w:pPr>
        <w:pStyle w:val="NormalWeb"/>
        <w:spacing w:before="0" w:beforeAutospacing="0" w:after="0" w:afterAutospacing="0"/>
        <w:jc w:val="center"/>
      </w:pPr>
      <w:r>
        <w:rPr>
          <w:rFonts w:ascii="Arial" w:hAnsi="Arial" w:cs="Arial"/>
          <w:b/>
          <w:bCs/>
          <w:color w:val="000000"/>
          <w:sz w:val="22"/>
          <w:szCs w:val="22"/>
        </w:rPr>
        <w:t>Monitoring Istinomjera:</w:t>
      </w:r>
    </w:p>
    <w:p w:rsidR="0064414E" w:rsidRDefault="0064414E" w:rsidP="0064414E"/>
    <w:p w:rsidR="0064414E" w:rsidRPr="0064414E" w:rsidRDefault="0064414E" w:rsidP="0064414E">
      <w:pPr>
        <w:pStyle w:val="NormalWeb"/>
        <w:spacing w:before="0" w:beforeAutospacing="0" w:after="0" w:afterAutospacing="0"/>
        <w:jc w:val="center"/>
        <w:rPr>
          <w:sz w:val="32"/>
          <w:szCs w:val="32"/>
        </w:rPr>
      </w:pPr>
      <w:r w:rsidRPr="0064414E">
        <w:rPr>
          <w:rFonts w:ascii="Arial" w:hAnsi="Arial" w:cs="Arial"/>
          <w:b/>
          <w:bCs/>
          <w:color w:val="000000"/>
          <w:sz w:val="32"/>
          <w:szCs w:val="32"/>
        </w:rPr>
        <w:t>Vijeće ministara BiH najmanje radilo na ispunjavanju predizbornih obećanja</w:t>
      </w:r>
    </w:p>
    <w:p w:rsidR="0064414E" w:rsidRDefault="0064414E" w:rsidP="0064414E">
      <w:pPr>
        <w:spacing w:after="240"/>
      </w:pPr>
    </w:p>
    <w:p w:rsidR="0064414E" w:rsidRDefault="0064414E" w:rsidP="0064414E">
      <w:pPr>
        <w:pStyle w:val="NormalWeb"/>
        <w:spacing w:before="0" w:beforeAutospacing="0" w:after="0" w:afterAutospacing="0"/>
        <w:jc w:val="both"/>
      </w:pPr>
      <w:r>
        <w:rPr>
          <w:rFonts w:ascii="Arial" w:hAnsi="Arial" w:cs="Arial"/>
          <w:color w:val="000000"/>
          <w:sz w:val="22"/>
          <w:szCs w:val="22"/>
        </w:rPr>
        <w:t>Partije koje su u proteklom mandatu bile u Vijeću ministara BiH (VMBiH) ni ovoga puta nisu prešle procenat od 3% u potpunosti ispunjenih obećanja, što je gotovo istovjetan rezultat kao i prije četiri godine. Stranke koje su formirale Vladu Republike Srpske (RS) i Vladu Kantona Sarajevo (KS) tokom proteklog mandata bile su donekle efikasnije u ispunjavanju predizbornih obećanja, odnosno principa djelovanja na kantonalnom nivou. Ipak, najveći broj obećanja i mjera na svim nivoima vlasti našao se u kategoriji neispunjenih.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 xml:space="preserve">Na to ukazuju finalni rezultati monitoringa ispunjenosti predizbornih obećanja partija koje su formirale vlast na nivou </w:t>
      </w:r>
      <w:hyperlink r:id="rId7" w:history="1">
        <w:r>
          <w:rPr>
            <w:rStyle w:val="Hyperlink"/>
            <w:rFonts w:ascii="Arial" w:hAnsi="Arial" w:cs="Arial"/>
            <w:color w:val="1155CC"/>
            <w:sz w:val="22"/>
            <w:szCs w:val="22"/>
          </w:rPr>
          <w:t>Vijeća ministara BiH</w:t>
        </w:r>
      </w:hyperlink>
      <w:r>
        <w:rPr>
          <w:rFonts w:ascii="Arial" w:hAnsi="Arial" w:cs="Arial"/>
          <w:color w:val="000000"/>
          <w:sz w:val="22"/>
          <w:szCs w:val="22"/>
        </w:rPr>
        <w:t xml:space="preserve">, </w:t>
      </w:r>
      <w:hyperlink r:id="rId8" w:history="1">
        <w:r>
          <w:rPr>
            <w:rStyle w:val="Hyperlink"/>
            <w:rFonts w:ascii="Arial" w:hAnsi="Arial" w:cs="Arial"/>
            <w:color w:val="1155CC"/>
            <w:sz w:val="22"/>
            <w:szCs w:val="22"/>
          </w:rPr>
          <w:t>Vlade RS</w:t>
        </w:r>
      </w:hyperlink>
      <w:r>
        <w:rPr>
          <w:rFonts w:ascii="Arial" w:hAnsi="Arial" w:cs="Arial"/>
          <w:color w:val="000000"/>
          <w:sz w:val="22"/>
          <w:szCs w:val="22"/>
        </w:rPr>
        <w:t>, kao i monitoringa realizacije mjera iz dokumenta pod nazivom “</w:t>
      </w:r>
      <w:hyperlink r:id="rId9" w:history="1">
        <w:r>
          <w:rPr>
            <w:rStyle w:val="Hyperlink"/>
            <w:rFonts w:ascii="Arial" w:hAnsi="Arial" w:cs="Arial"/>
            <w:color w:val="1155CC"/>
            <w:sz w:val="22"/>
            <w:szCs w:val="22"/>
          </w:rPr>
          <w:t>Principi i mjere djelovanja Vlade Kantona Sarajevo 2021 – 2022</w:t>
        </w:r>
      </w:hyperlink>
      <w:r>
        <w:rPr>
          <w:rFonts w:ascii="Arial" w:hAnsi="Arial" w:cs="Arial"/>
          <w:color w:val="000000"/>
          <w:sz w:val="22"/>
          <w:szCs w:val="22"/>
        </w:rPr>
        <w:t xml:space="preserve">”, koji su usaglasile članice vladajuće koalicije </w:t>
      </w:r>
      <w:hyperlink r:id="rId10" w:history="1">
        <w:r>
          <w:rPr>
            <w:rStyle w:val="Hyperlink"/>
            <w:rFonts w:ascii="Arial" w:hAnsi="Arial" w:cs="Arial"/>
            <w:color w:val="1155CC"/>
            <w:sz w:val="22"/>
            <w:szCs w:val="22"/>
          </w:rPr>
          <w:t>u KS</w:t>
        </w:r>
      </w:hyperlink>
      <w:r>
        <w:rPr>
          <w:rFonts w:ascii="Arial" w:hAnsi="Arial" w:cs="Arial"/>
          <w:color w:val="000000"/>
          <w:sz w:val="22"/>
          <w:szCs w:val="22"/>
        </w:rPr>
        <w:t xml:space="preserve"> u januaru 2021. godine. S obzirom na činjenicu da nakon Općih izbora održanih 2018. godine nije došlo do formiranja Vlade Federacije BiH (FBiH), te je Vlada formirana još u martu 2015. godine nastavila raditi u tehničkom mandatu bez većinske podrške u entitetskom parlamentu, Istinomjer nije pratio obećanja data na ovom nivou vlasti.</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Istinomjer je obećanja prikupljao tokom izborne kampanje uoči Općih izbora 2018. godine, iz dostupnih programa političkih partija, ali i iz javnih istupa sa zvaničnih skupova političkih partija koje nisu imale zvanične dokumente svojih programa. U slučaju Vlade KS, Istinomjer je pratio realizaciju mjera iz postizborne programske platforme stranaka koje su formirale kantonalnu vlast.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b/>
          <w:bCs/>
          <w:color w:val="000000"/>
          <w:sz w:val="22"/>
          <w:szCs w:val="22"/>
        </w:rPr>
        <w:t>Vijeće ministara BiH    </w:t>
      </w:r>
    </w:p>
    <w:p w:rsidR="0064414E" w:rsidRDefault="0064414E" w:rsidP="0064414E"/>
    <w:p w:rsidR="0064414E" w:rsidRPr="0064414E" w:rsidRDefault="0064414E" w:rsidP="0064414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Političke partije (SDA, HDZ BiH, SNSD, DF, SBB i DNS) koje su krajem decembra 2019. godine formirale Vijeće ministara BiH dale su ukupno 209 predizbornih obećanja koja su se odnosila na državni nivo vlasti. Nakon što su tu koaliciju napustile partije Demokratski narodni savez (DNS) s devet i Savez za bolju budućnost (SBB) s 11 datih obećanja, Istinomjer je nastavio pratiti 189 predizbornih obećanja ostale četiri partije (SDA, HDZ BiH, SNSD, DF). Od tog broja, u potpunosti je ispunjeno njih šest (3,1%), a još pet (2,6%) obećanja ocijenjeno je kao ispunjeno većim dijelom. Djelimično je ispunjeno 21 (11%) obećanje, a njih 47 (24,8%) ispunjeno je manjim dijelom. Najveći broj obećanja, njih 109 (57%), ostalo je neispunjeno, a jedno obećanje ocijenjeno je kao neutemeljeno.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 xml:space="preserve">Većinu obećanja koja su bila obuhvaćena monitoringom Istinomjera dale su Stranka demokratske akcije (SDA), njih 89, i Demokratska fronta (DF), 87, dok je Hrvatska demokratska zajednica BiH (HDZ BiH) imala devet obećanja, a Savez nezavisnih socijaldemokrata (SNSD) tek četiri. Važno je napomenuti da SNSD nije imao program za Opće izbore 2018. godine te je njihova obećanja Istinomjer prikupio tokom izborne kampanje iz javnih istupa zvaničnika/ca ove stranke. Inače, četiri obećanja ove partije koja su ocijenjena kao neispunjena odnose se na odbijanje daljeg napretka ka članstvu u NATO savezu, odbijanje vršenja vojnih vježbi na teritoriji RS, ukidanje </w:t>
      </w:r>
      <w:r>
        <w:rPr>
          <w:rFonts w:ascii="Arial" w:hAnsi="Arial" w:cs="Arial"/>
          <w:color w:val="000000"/>
          <w:sz w:val="22"/>
          <w:szCs w:val="22"/>
        </w:rPr>
        <w:lastRenderedPageBreak/>
        <w:t>Ureda visokog predstavnika u BiH i odlazak stranih sudija iz Ustavnog suda BiH. Provedba Odluke Ustavnog suda BiH za Grad Mostar jedino je ispunjeno obećanje HDZ-a BiH, tri obećanja ove partije ocijenjena su kao djelimično ispunjena, a isto toliko ispunjeno je manjim dijelom.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Od 89 datih obećanja SDA, na kraju mandata u potpunosti su ispunjena tri, a četiri su ocijenjena kao ispunjena većim dijelom. Sedam obećanja ove stranke djelimično je ispunjeno, dok je manjim dijelom ispunjeno njih 25. Više od polovine obećanja SDA, njih 49, ostalo je neispunjeno, a jedno je ocijenjeno kao neutemeljeno. Od obećanja DF-a u potpunosti su ispunjena dva, jedno obećanje je ispunjeno većim dijelom, dok ih je 11 ispunjeno djelimično. I većina obećanja DF-a (57) ostala su neispunjena, a njih 19 ispunjeno je manjim dijelom.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Šest ispunjenih obećanja tokom mandata dato je u oblastima ekonomije (4) i državnog uređenja (2). Ona su se odnosila na rast plata i BDP-a po glavi stanovnika, donošenje Strategije održivog razvoja i Strategije upravljanja javnim dugom te već spomenutu provedbu Odluke Ustavnog suda BiH za Grad Mostar. Ona je implementirana tek nakon odluke Evropskog suda za ljudska prava u Strazburu, koji je 2019. godine donio presudu u korist Irme Baralije. Ispunjeno je i negativno formulisano obećanje SDA o nepristajanju na dalju teritorijalnu reorganizaciju na etničkim principima, koje je ispunjeno samim tim jer nije dolazilo ni do kakve ustavne reorganizacije. Jedno od obećanja SDA bio je i porast kupovne moći građana, no iako plate jesu porasle, došlo je do slabljenja kupovne moći za nekoliko procenata. Dva obećanja koja su se odnosila na rast broja zaposlenih i pad nezaposlenih ispunjena su većim dijelom, a istu ocjenu na kraju mandata dobila su i tri obećanja iz oblasti spoljne politike koja su se odnosila na učešće u operacijama podrške miru i vojnim vježbama s članicama NATO-a, kao i na saradnju sa susjednim zemljama na polju sigurnosti i borbe protiv terorizma.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Protekli mandat Vijeća ministara BiH obilježile su brojne blokade rada državnih izvršnih i zakonodavnih institucija, prvenstveno od SNSD-a, te velike nesuglasice koalicionih partnera u pogledu ključnih pitanja u zemlji, kao što su izmjene izbornog zakonodavstva, ustavne reforme i euroatlantske integracije. Može se konstatovati i potpuni zastoj na putu ka članstvu u EU, s obzirom na to da se vrlo malo radilo na ispunjavanju 14 prioriteta navedenih u Mišljenju Evropske komisije o zahtjevu Bosne i Hercegovine za članstvo u EU iz 2019. godine. I pandemija Covid-19, koja je proglašena početkom 2020. godine, također je obilježila protekli mandat. </w:t>
      </w:r>
    </w:p>
    <w:p w:rsidR="0064414E" w:rsidRDefault="0064414E" w:rsidP="0064414E"/>
    <w:p w:rsidR="0064414E" w:rsidRDefault="0064414E" w:rsidP="0064414E">
      <w:pPr>
        <w:pStyle w:val="NormalWeb"/>
        <w:spacing w:before="0" w:beforeAutospacing="0" w:after="0" w:afterAutospacing="0"/>
        <w:jc w:val="center"/>
      </w:pPr>
      <w:r>
        <w:rPr>
          <w:rFonts w:ascii="Arial" w:hAnsi="Arial" w:cs="Arial"/>
          <w:b/>
          <w:bCs/>
          <w:color w:val="000000"/>
          <w:sz w:val="22"/>
          <w:szCs w:val="22"/>
        </w:rPr>
        <w:t>Vlada Republike Srpske</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Nešto više od dva mjeseca nakon održavanja Općih izbora 2018. godine formirana je Vlada Republike Srpske. Vlast je formiralo pet partija – Savez nezavisnih socijaldemokrata (SNSD), Socijalistička partija Republike Srpske (SPRS), Ujedinjena Srpska, Narodni demokratski pokret (NDP) i Demokratski narodni savez (DNS), koje su dale 222 obećanja. Nakon što je Vladu Republike Srpske u oktobru 2020. godine napustio DNS, iz Istinomjerovog monitoringa isključena su obećanja ove političke partije, te je tokom treće i četvrte godine mandata praćeno ispunjavanje 149 obećanja SNSD-a (52), SPRS-a (65), NDP-a (26) i Ujedinjene Srpske (6).</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 xml:space="preserve">Od ukupnog broja ispunjenih obećanja, njih 21, najviše je dao SNSD (13), a ispunjeno je i sedam obećanja koje je dao SPRS te jedno obećanje NDP-a, dok nijedno obećanje Ujedinjene Srpske </w:t>
      </w:r>
      <w:r>
        <w:rPr>
          <w:rFonts w:ascii="Arial" w:hAnsi="Arial" w:cs="Arial"/>
          <w:color w:val="000000"/>
          <w:sz w:val="22"/>
          <w:szCs w:val="22"/>
        </w:rPr>
        <w:lastRenderedPageBreak/>
        <w:t>nije ispunjeno tokom ovog mandatnog perioda. Još tri obećanja koja je dao SNSD ispunjena su sa zakašnjenjem. Većim je dijelom ispunjeno 15 obećanja, od kojih su po pet dali SNSD i SPRS, četiri NDP, a Ujedinjena Srpska jedno. Djelimično je ispunjeno 29 obećanja, od čega je skoro polovinu obećanja dao SPRS, sedam NDP, pet SNSD i tri Ujedinjena Srpska.</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Manjim je dijelom ispunjeno 16 obećanja, od čega su njih šest dali SPRS i SNSD, tri NDP i jedno obećanje Ujedinjena Srpska. Neispunjeno je 61 obećanje, od čega je polovina obećanja pripadala SPRS-u, 17 SNSD-u, 11 NDP-u i jedno Ujedinjenoj Srpskoj. Dva SNSD-ova obećanja ocijenjena su kao neutemeljena, dok je po jedno obećanje SNSD-a i SPRS-a ocijenjeno kao prekršeno.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Najviše obećanja dato je u oblasti ekonomije, čak 81, dok je tek po dvadesetak dato u oblastima socijalne politike i državnog uređenja. U oblastima obrazovanja, zdravstva, pravne države i međunarodnih odnosa dato je ispod deset obećanja po oblasti.</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Najviše ispunjenih obećanja zabilježeno je u oblasti ekonomije (8), po pet u oblastima državnog uređenja i socijalne politike i tri u oblasti obrazovanja. U oblasti ekonomije većim je dijelom ispunjeno 11 obećanja, dok su u oblasti socijalne politike ispunjena samo dva obećanja te po jedno u oblastima međunarodnih odnosa i zdravstva. Radilo se, između ostalog, na povezivanju autoputeva, izgradnji novog mosta na Savi, donošenju Zakona o socijalnom preduzetništvu, povećanju penzija u Republici Srpskoj, izgradnji nove bolnice u Doboju, povećanju plata i socijalnih davanja, izmjeni sistemskih zakona iz oblasti ekonomije, kao i na izgradnji banjskih centara.</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Djelimično je ispunjeno 15 obećanja u oblasti ekonomije, a neke aktivnosti zabilježene su i u oblastima državnog uređenja, zdravstva, socijalne politike, obrazovanja i pravne države. Radi se o obećanjima o bržem izdavanju dozvola, digitalizaciji administracije, izgradnji autoputa u sjeveroistočnoj Bosni, investicijama u energetski sektor te izgradnji hidroelektrana Foča i Paunci.</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Od 61 neispunjenog obećanja, čak 32 data su u oblasti ekonomije, a zatim slijede oblasti državnog uređenja (10), socijalne politike (8) i pravne države (5) te nekoliko obećanja u zdravstvu, obrazovanju i međunarodnim odnosima. Neispunjena su obećanja o izgradnji autoputa Banjaluka – Mlinište, izgradnji nove hidroelektrane u Gradišci, rješavanju pitanja oko Banje Guber, rješavanju statusa graničnog prelaza u Novom Gradu, donošenju zakona o Fondu socijalne zaštite i pomoći ugroženim građanima, provođenju referenduma o nazivu Istočnog Sarajeva, zakonu o dijaspori, sukobu interesa i fondu socijalne zaštite i formiranju instituta za nestala lica na nivou Republike Srpske. Majke s četvero i više djece nisu dobile nacionalnu penziju, te je i ovo obećanje ocijenjeno kao neispunjeno. Informatika nije postala obavezan predmet, što je ostalo još jedno neispunjeno obećanje iz oblasti obrazovanja.</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 xml:space="preserve">Iako procenat obećanja koja su ispunjena i većim dijelom ispunjena na kraju mandata iznosi oko 26%, treba istaći da, s izuzetkom dvije stranke, od kojih je jedna istupila iz vlasti u međuvremenu, preostale tri stranke nisu tokom predizborne kampanje za Opće izbore 2018. godine predstavile svoje programe. Kao što smo već naveli, Istinomjer je obećanja za SNSD, Ujedinjenu Srpsku i SPRS prikupio iz predizbornih nastupa tadašnjih članova/ica i kandidata/kinja, a veliki broj obećanja dat tokom predizborne kampanje za prošle opće izbore bio je baziran na već započetim i planiranim aktivnostima. Među njima su često bili infrastrukturni projekti na lokalnom nivou, koji </w:t>
      </w:r>
      <w:r>
        <w:rPr>
          <w:rFonts w:ascii="Arial" w:hAnsi="Arial" w:cs="Arial"/>
          <w:color w:val="000000"/>
          <w:sz w:val="22"/>
          <w:szCs w:val="22"/>
        </w:rPr>
        <w:lastRenderedPageBreak/>
        <w:t>su već tada bili pred samim krajem realizacije, što je zasigurno uticalo i na procenat ispunjenosti predizbornih obećanja.</w:t>
      </w:r>
    </w:p>
    <w:p w:rsidR="0064414E" w:rsidRDefault="0064414E" w:rsidP="0064414E"/>
    <w:p w:rsidR="0064414E" w:rsidRDefault="0064414E" w:rsidP="0064414E">
      <w:pPr>
        <w:pStyle w:val="NormalWeb"/>
        <w:spacing w:before="0" w:beforeAutospacing="0" w:after="0" w:afterAutospacing="0"/>
        <w:jc w:val="both"/>
      </w:pPr>
      <w:r>
        <w:rPr>
          <w:rFonts w:ascii="Arial" w:hAnsi="Arial" w:cs="Arial"/>
          <w:b/>
          <w:bCs/>
          <w:color w:val="000000"/>
          <w:sz w:val="22"/>
          <w:szCs w:val="22"/>
        </w:rPr>
        <w:t>Vlada Kantona Sarajevo</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Vlada Kantona Sarajevo imenovana 5. januara 2021. godine treća je kantonalna vlada nakon Općih izbora 2018. godine. Istinomjer je u proteklom periodu pratio realizaciju ukupno 400 mjera iz dokumenta pod nazivom “</w:t>
      </w:r>
      <w:hyperlink r:id="rId11" w:history="1">
        <w:r>
          <w:rPr>
            <w:rStyle w:val="Hyperlink"/>
            <w:rFonts w:ascii="Arial" w:hAnsi="Arial" w:cs="Arial"/>
            <w:color w:val="1155CC"/>
            <w:sz w:val="22"/>
            <w:szCs w:val="22"/>
          </w:rPr>
          <w:t>Principi i mjere djelovanja Vlade Kantona Sarajevo 2021–2022</w:t>
        </w:r>
      </w:hyperlink>
      <w:r>
        <w:rPr>
          <w:rFonts w:ascii="Arial" w:hAnsi="Arial" w:cs="Arial"/>
          <w:color w:val="000000"/>
          <w:sz w:val="22"/>
          <w:szCs w:val="22"/>
        </w:rPr>
        <w:t>”, koji su usaglasile članice vladajuće koalicije i koji je predstavljen kroz ekspoze premijera Edina Forte.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Vlada Kantona Sarajevo imenovana 5. januara 2021. godine treća je kantonalna Vlada nakon Općih izbora 2018. godine. Formirana je na osnovu sporazuma kojeg su potpisali Socijaldemokratska partija BiH (SDP BiH), Narod i pravda (NiP), Naša stranka (NS), sada već bivša Nezavisna bosanskohercegovačka lista (NBL) te samostalni zastupnici i zastupnice u Skupštini KS. Tokom prvih 100 dana rada Vlade koaliciju na ovom nivou vlasti napustio je NBL. Za premijera KS imenovan je Edin Forto, koji je ovu funkciju obnašao i u vrijeme kada su u radu kantonalne Vlade učestvovale partije koje su činile tzv. šestorku, od decembra 2018. godine do januara 2020. godine. U međuvremenu je tokom 2020. godine kantonalnu Vladu predvodio Mario Nenadić, kojeg je za premijera imenovala skupštinska većina koju su činili SDA, DF i SBB.</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Od 400 mjera u potpunosti su realizovane 43 (10,7%), dok je većim dijelom realizovano 58 (14,5%) predviđenih mjera. Kantonalna Vlada djelimično je realizovala još 92 (23%) mjere, a njih 70 (17,5%) provedeno je tek manjim dijelom. Ukupno 134 mjere koje su navedene u principima djelovanja ostale su neispunjene. Još dvije mjere ocijenjene su kao neutemeljene, a jedna koja se ticala provedbe Studije o urbanim ventilacionim koridorima ocijenjena je kao prekršena, s obzirom na to da je ova studija prvo donesena, a potom i stavljena van snage.</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Prema broju predviđenih mjera, u dokumentu prednjače oblasti ekonomije (145) i obrazovanja (77), dok su 64 mjere iz oblasti socijalne politike. Po 41 mjera predviđena je u oblastima državnog uređenja i pravne države, a njih 33 u oblasti zdravstva.</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Najviše mjera koje su realizovane u potpunosti nalazi se u oblasti ekonomije (18), a najmanje u oblastima državnog uređenja (4) i pravne države (4). Među realizovanim mjerama iz oblasti ekonomije su izmjene Zakona o šumama KS, Zakona o cestama KS i Zakona o javnom prevozu, uspostava Centra za kontrolu zraka, izmjene Zakona o koncesijama te podrška privrednicima kroz nekoliko programa. Još 19 mjera u oblasti ekonomije realizovano je većim dijelom, a među njima su provođenje novih programa zapošljavanja, nabavka novih trolejbusa i uvođenje novih linija autobuskog saobraćaja, rekonstrukcija i sanacija lokalnih cesta te rekonstrukcija tramvajske pruge u KS. U oblasti državnog uređenja realizovane su mjere poput provođenja Uredbe o kontroli javnih nabavki, kontrole dodjele sredstava iz tekućih transfera, objedinjavanja procesa javnih nabavki i druge.</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 xml:space="preserve">U oblasti socijalne politike i zdravstva realizovano je po osam mjera, poput uspostave jedinstvene baze boračkih udruženja, donošenja novog Zakona o socijalnoj zaštiti KS, povećanja socijalnih naknada Kantona Sarajevo te usvajanja rebalansa finansijskog plana ZZOKS. U oblasti </w:t>
      </w:r>
      <w:r>
        <w:rPr>
          <w:rFonts w:ascii="Arial" w:hAnsi="Arial" w:cs="Arial"/>
          <w:color w:val="000000"/>
          <w:sz w:val="22"/>
          <w:szCs w:val="22"/>
        </w:rPr>
        <w:lastRenderedPageBreak/>
        <w:t>obrazovanja ispunjeno je šest obećanja, uključujući usvajanje novog Zakona o visokom obrazovanju.</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Od 134 nerealizovane mjere mogu se izdvojiti neke, poput izgradnje južne longitudinale, nulte transferzale, izgradnje novog pozorišta, koncertne dvorane i zgrade Uprave policije MUP-a KS, uspostavljanja fonda za nauku, izrade studije potreba KS, ali i drugih.</w:t>
      </w:r>
    </w:p>
    <w:p w:rsidR="0064414E" w:rsidRDefault="0064414E" w:rsidP="0064414E"/>
    <w:p w:rsidR="0064414E" w:rsidRDefault="0064414E" w:rsidP="0064414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Treba naglasiti da je kantonalna Vlada u Sarajevu bila jedna od rijetkih koja je do sada predstavila konkretne principe djelovanja s mjerama koje namjerava realizovati tokom mandata. Ova praksa započela je uspostavljanjem vlade tzv. šestorke krajem 2018. godine, koju je i tada predvodio Edin Forto. </w:t>
      </w:r>
    </w:p>
    <w:p w:rsidR="0064414E" w:rsidRDefault="0064414E" w:rsidP="0064414E">
      <w:pPr>
        <w:pStyle w:val="NormalWeb"/>
        <w:spacing w:before="0" w:beforeAutospacing="0" w:after="0" w:afterAutospacing="0"/>
        <w:jc w:val="both"/>
      </w:pP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Protekli mandatni period obilježen je formiranjem koalicije na državnom nivou od partija s potpuno suprotnim programskim ciljevima u pogledu ključnih pitanja, kao što su članstvo BiH u NATO savezu, ustavne reforme ili reforma pravosudnog sistema u BiH, ali i potpunim zastojem rada na ključnim reformama i ispunjavanju prioriteta na putu ka članstvu u EU. Sve to ponovo je dovelo do izuzetno niskog procenta ispunjenosti predizbornih obećanja partija na ovom nivou vlasti, na kojem je čak 83% obećanja ostalo u kategoriji neispunjenih. S druge strane, na nivou Republike Srpske svjedočili smo davanju populističkih obećanja u kampanji 2018. godine, ali i neodgovornosti prema samim građanima/kama od strane vladajućih partija koje većinom nisu imale jasno definisane predizborne programe, nego su posezale za onim obećanjima koja su se odnosila na već pripremljene projekte i infrastrukturne zahvate na lokalnom nivou. Ipak, i pored toga, više od polovine obećanja partija na vlasti u RS ostalo je neispunjeno. Vlada na nivou FBiH od 2018. godine nastavila je djelovati u tehničkom mandatu i bez nekoliko ministra tokom većine mandata, dok su neki ministri mijenjali stranke te su obavljali i po nekoliko javnih funkcija na više nivoa vlasti odjednom. U tim okolnostima nije bilo moguće pratiti obećanja partija koje su participirale u njenom radu. Mandat kantonalne vlasti u Sarajevu prije svega su obilježile rekonstrukcije vlasti u tri navrata, ali i činjenica da su stranke koje su formirale vlast ponudile jasan programski dokument. Na kraju treba istači činjenicu da su partije na svim nivoima vlasti u BiH koji su bili obuhvaćeni monitoringom Istinomjera završile svoj mandat s više od 50% neispunjenih i neralizovanih obećanja i mjera.      </w:t>
      </w:r>
    </w:p>
    <w:p w:rsidR="0064414E" w:rsidRDefault="0064414E" w:rsidP="0064414E"/>
    <w:p w:rsidR="0064414E" w:rsidRDefault="0064414E" w:rsidP="0064414E">
      <w:pPr>
        <w:pStyle w:val="NormalWeb"/>
        <w:spacing w:before="0" w:beforeAutospacing="0" w:after="0" w:afterAutospacing="0"/>
        <w:jc w:val="both"/>
      </w:pPr>
      <w:r>
        <w:rPr>
          <w:rFonts w:ascii="Arial" w:hAnsi="Arial" w:cs="Arial"/>
          <w:color w:val="000000"/>
          <w:sz w:val="22"/>
          <w:szCs w:val="22"/>
        </w:rPr>
        <w:t>(Istinomjer.ba) </w:t>
      </w:r>
      <w:bookmarkStart w:id="0" w:name="_GoBack"/>
      <w:bookmarkEnd w:id="0"/>
      <w:r>
        <w:br/>
      </w:r>
    </w:p>
    <w:p w:rsidR="0064414E" w:rsidRDefault="0064414E" w:rsidP="0064414E">
      <w:pPr>
        <w:pStyle w:val="NormalWeb"/>
        <w:shd w:val="clear" w:color="auto" w:fill="FFFFFF"/>
        <w:spacing w:before="0" w:beforeAutospacing="0" w:after="0" w:afterAutospacing="0"/>
        <w:jc w:val="both"/>
      </w:pPr>
      <w:r>
        <w:t> </w:t>
      </w:r>
    </w:p>
    <w:p w:rsidR="0064414E" w:rsidRDefault="0064414E" w:rsidP="0064414E">
      <w:pPr>
        <w:pStyle w:val="NormalWeb"/>
        <w:shd w:val="clear" w:color="auto" w:fill="FFFFFF"/>
        <w:spacing w:before="0" w:beforeAutospacing="0" w:after="0" w:afterAutospacing="0"/>
        <w:jc w:val="both"/>
      </w:pPr>
      <w:r>
        <w:t> </w:t>
      </w:r>
    </w:p>
    <w:p w:rsidR="00C97C4F" w:rsidRPr="0064414E" w:rsidRDefault="0064414E" w:rsidP="0064414E">
      <w:r>
        <w:br/>
      </w:r>
      <w:r>
        <w:br/>
      </w:r>
      <w:r>
        <w:br/>
      </w:r>
      <w:r>
        <w:br/>
      </w:r>
      <w:r>
        <w:br/>
      </w:r>
      <w:r>
        <w:br/>
      </w:r>
      <w:r>
        <w:br/>
      </w:r>
    </w:p>
    <w:sectPr w:rsidR="00C97C4F" w:rsidRPr="0064414E">
      <w:headerReference w:type="even" r:id="rId12"/>
      <w:headerReference w:type="default" r:id="rId13"/>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B6" w:rsidRDefault="00887FB6">
      <w:pPr>
        <w:spacing w:line="240" w:lineRule="auto"/>
      </w:pPr>
      <w:r>
        <w:separator/>
      </w:r>
    </w:p>
  </w:endnote>
  <w:endnote w:type="continuationSeparator" w:id="0">
    <w:p w:rsidR="00887FB6" w:rsidRDefault="00887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B6" w:rsidRDefault="00887FB6">
      <w:pPr>
        <w:spacing w:line="240" w:lineRule="auto"/>
      </w:pPr>
      <w:r>
        <w:separator/>
      </w:r>
    </w:p>
  </w:footnote>
  <w:footnote w:type="continuationSeparator" w:id="0">
    <w:p w:rsidR="00887FB6" w:rsidRDefault="00887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4F" w:rsidRDefault="00887FB6">
    <w:pPr>
      <w:jc w:val="center"/>
      <w:rPr>
        <w:sz w:val="20"/>
        <w:szCs w:val="20"/>
      </w:rPr>
    </w:pPr>
    <w:r>
      <w:rPr>
        <w:sz w:val="20"/>
        <w:szCs w:val="20"/>
      </w:rPr>
      <w:t xml:space="preserve">                    </w:t>
    </w:r>
  </w:p>
  <w:p w:rsidR="00C97C4F" w:rsidRDefault="00887FB6">
    <w:pPr>
      <w:jc w:val="center"/>
      <w:rPr>
        <w:sz w:val="20"/>
        <w:szCs w:val="20"/>
      </w:rPr>
    </w:pPr>
    <w:r>
      <w:rPr>
        <w:noProof/>
        <w:lang w:val="en-US"/>
      </w:rPr>
      <w:drawing>
        <wp:inline distT="114300" distB="114300" distL="114300" distR="114300">
          <wp:extent cx="1512168" cy="380202"/>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2168" cy="380202"/>
                  </a:xfrm>
                  <a:prstGeom prst="rect">
                    <a:avLst/>
                  </a:prstGeom>
                  <a:ln/>
                </pic:spPr>
              </pic:pic>
            </a:graphicData>
          </a:graphic>
        </wp:inline>
      </w:drawing>
    </w:r>
    <w:r>
      <w:t xml:space="preserve">   </w:t>
    </w:r>
    <w:r>
      <w:rPr>
        <w:noProof/>
        <w:lang w:val="en-US"/>
      </w:rPr>
      <w:drawing>
        <wp:inline distT="114300" distB="114300" distL="114300" distR="114300">
          <wp:extent cx="1496690" cy="48396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96690" cy="483960"/>
                  </a:xfrm>
                  <a:prstGeom prst="rect">
                    <a:avLst/>
                  </a:prstGeom>
                  <a:ln/>
                </pic:spPr>
              </pic:pic>
            </a:graphicData>
          </a:graphic>
        </wp:inline>
      </w:drawing>
    </w:r>
    <w:r>
      <w:t xml:space="preserve">      </w:t>
    </w:r>
    <w:r>
      <w:rPr>
        <w:noProof/>
        <w:lang w:val="en-US"/>
      </w:rPr>
      <w:drawing>
        <wp:inline distT="114300" distB="114300" distL="114300" distR="114300">
          <wp:extent cx="1292891" cy="334631"/>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2891" cy="334631"/>
                  </a:xfrm>
                  <a:prstGeom prst="rect">
                    <a:avLst/>
                  </a:prstGeom>
                  <a:ln/>
                </pic:spPr>
              </pic:pic>
            </a:graphicData>
          </a:graphic>
        </wp:inline>
      </w:drawing>
    </w:r>
  </w:p>
  <w:p w:rsidR="00C97C4F" w:rsidRDefault="00C97C4F">
    <w:pPr>
      <w:jc w:val="center"/>
      <w:rPr>
        <w:sz w:val="20"/>
        <w:szCs w:val="20"/>
      </w:rPr>
    </w:pPr>
  </w:p>
  <w:p w:rsidR="00C97C4F" w:rsidRDefault="00887FB6">
    <w:pPr>
      <w:jc w:val="center"/>
    </w:pPr>
    <w:r>
      <w:rPr>
        <w:sz w:val="20"/>
        <w:szCs w:val="20"/>
      </w:rPr>
      <w:t xml:space="preserve">    </w:t>
    </w:r>
    <w:hyperlink r:id="rId4">
      <w:r>
        <w:rPr>
          <w:color w:val="1155CC"/>
          <w:sz w:val="20"/>
          <w:szCs w:val="20"/>
          <w:u w:val="single"/>
        </w:rPr>
        <w:t>www.zastone.ba</w:t>
      </w:r>
    </w:hyperlink>
    <w:r>
      <w:rPr>
        <w:b/>
        <w:sz w:val="20"/>
        <w:szCs w:val="20"/>
      </w:rPr>
      <w:t xml:space="preserve"> |</w:t>
    </w:r>
    <w:r>
      <w:rPr>
        <w:sz w:val="20"/>
        <w:szCs w:val="20"/>
      </w:rPr>
      <w:t xml:space="preserve"> info@zastone.ba</w:t>
    </w:r>
    <w:r>
      <w:rPr>
        <w:b/>
        <w:sz w:val="20"/>
        <w:szCs w:val="20"/>
      </w:rPr>
      <w:t xml:space="preserve"> |</w:t>
    </w:r>
    <w:r>
      <w:rPr>
        <w:sz w:val="20"/>
        <w:szCs w:val="20"/>
      </w:rPr>
      <w:t xml:space="preserve"> Tel/Fax +387 (0) 33 618 461</w:t>
    </w:r>
    <w:r>
      <w:rPr>
        <w:b/>
        <w:sz w:val="20"/>
        <w:szCs w:val="20"/>
      </w:rPr>
      <w:t xml:space="preserve"> </w:t>
    </w:r>
  </w:p>
  <w:p w:rsidR="00C97C4F" w:rsidRDefault="00C97C4F"/>
  <w:p w:rsidR="00C97C4F" w:rsidRDefault="00C97C4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4F" w:rsidRDefault="00887FB6">
    <w:pPr>
      <w:jc w:val="center"/>
      <w:rPr>
        <w:sz w:val="20"/>
        <w:szCs w:val="20"/>
      </w:rPr>
    </w:pPr>
    <w:r>
      <w:rPr>
        <w:sz w:val="20"/>
        <w:szCs w:val="20"/>
      </w:rPr>
      <w:t xml:space="preserve">                    </w:t>
    </w:r>
  </w:p>
  <w:p w:rsidR="00C97C4F" w:rsidRDefault="00887FB6">
    <w:pPr>
      <w:jc w:val="center"/>
      <w:rPr>
        <w:sz w:val="20"/>
        <w:szCs w:val="20"/>
      </w:rPr>
    </w:pPr>
    <w:r>
      <w:rPr>
        <w:noProof/>
        <w:lang w:val="en-US"/>
      </w:rPr>
      <w:drawing>
        <wp:inline distT="114300" distB="114300" distL="114300" distR="114300">
          <wp:extent cx="1512168" cy="380202"/>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2168" cy="380202"/>
                  </a:xfrm>
                  <a:prstGeom prst="rect">
                    <a:avLst/>
                  </a:prstGeom>
                  <a:ln/>
                </pic:spPr>
              </pic:pic>
            </a:graphicData>
          </a:graphic>
        </wp:inline>
      </w:drawing>
    </w:r>
    <w:r>
      <w:t xml:space="preserve">         </w:t>
    </w:r>
  </w:p>
  <w:p w:rsidR="00C97C4F" w:rsidRDefault="00C97C4F">
    <w:pPr>
      <w:jc w:val="center"/>
      <w:rPr>
        <w:sz w:val="20"/>
        <w:szCs w:val="20"/>
      </w:rPr>
    </w:pPr>
  </w:p>
  <w:p w:rsidR="00C97C4F" w:rsidRDefault="00887FB6">
    <w:pPr>
      <w:jc w:val="center"/>
    </w:pPr>
    <w:r>
      <w:rPr>
        <w:sz w:val="20"/>
        <w:szCs w:val="20"/>
      </w:rPr>
      <w:t xml:space="preserve">    </w:t>
    </w:r>
    <w:hyperlink r:id="rId2">
      <w:r>
        <w:rPr>
          <w:color w:val="0000FF"/>
          <w:sz w:val="20"/>
          <w:szCs w:val="20"/>
          <w:u w:val="single"/>
        </w:rPr>
        <w:t>www.istinomjer.ba</w:t>
      </w:r>
    </w:hyperlink>
    <w:r>
      <w:rPr>
        <w:b/>
        <w:sz w:val="20"/>
        <w:szCs w:val="20"/>
      </w:rPr>
      <w:t xml:space="preserve"> |</w:t>
    </w:r>
    <w:r>
      <w:rPr>
        <w:sz w:val="20"/>
        <w:szCs w:val="20"/>
      </w:rPr>
      <w:t xml:space="preserve"> istinomjer@zastone.ba</w:t>
    </w:r>
    <w:r>
      <w:rPr>
        <w:b/>
        <w:sz w:val="20"/>
        <w:szCs w:val="20"/>
      </w:rPr>
      <w:t xml:space="preserve"> |</w:t>
    </w:r>
    <w:r>
      <w:rPr>
        <w:sz w:val="20"/>
        <w:szCs w:val="20"/>
      </w:rPr>
      <w:t xml:space="preserve"> Tel/Fax +387 (0) 33 618 461</w:t>
    </w:r>
    <w:r>
      <w:rPr>
        <w:b/>
        <w:sz w:val="20"/>
        <w:szCs w:val="20"/>
      </w:rPr>
      <w:t xml:space="preserve"> </w:t>
    </w:r>
  </w:p>
  <w:p w:rsidR="00C97C4F" w:rsidRDefault="00C97C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4F"/>
    <w:rsid w:val="004C6CDD"/>
    <w:rsid w:val="0064414E"/>
    <w:rsid w:val="00887FB6"/>
    <w:rsid w:val="00C9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8D9C"/>
  <w15:docId w15:val="{4AB7CFB6-97B1-4FB1-8A51-7F6D1588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5C4470"/>
    <w:pPr>
      <w:tabs>
        <w:tab w:val="center" w:pos="4680"/>
        <w:tab w:val="right" w:pos="9360"/>
      </w:tabs>
      <w:spacing w:line="240" w:lineRule="auto"/>
    </w:pPr>
  </w:style>
  <w:style w:type="character" w:customStyle="1" w:styleId="FooterChar">
    <w:name w:val="Footer Char"/>
    <w:basedOn w:val="DefaultParagraphFont"/>
    <w:link w:val="Footer"/>
    <w:uiPriority w:val="99"/>
    <w:rsid w:val="005C4470"/>
  </w:style>
  <w:style w:type="paragraph" w:styleId="Header">
    <w:name w:val="header"/>
    <w:basedOn w:val="Normal"/>
    <w:link w:val="HeaderChar"/>
    <w:uiPriority w:val="99"/>
    <w:unhideWhenUsed/>
    <w:rsid w:val="00B30DD6"/>
    <w:pPr>
      <w:tabs>
        <w:tab w:val="center" w:pos="4680"/>
        <w:tab w:val="right" w:pos="9360"/>
      </w:tabs>
      <w:spacing w:line="240" w:lineRule="auto"/>
    </w:pPr>
  </w:style>
  <w:style w:type="character" w:customStyle="1" w:styleId="HeaderChar">
    <w:name w:val="Header Char"/>
    <w:basedOn w:val="DefaultParagraphFont"/>
    <w:link w:val="Header"/>
    <w:uiPriority w:val="99"/>
    <w:rsid w:val="00B30DD6"/>
  </w:style>
  <w:style w:type="character" w:styleId="Hyperlink">
    <w:name w:val="Hyperlink"/>
    <w:basedOn w:val="DefaultParagraphFont"/>
    <w:uiPriority w:val="99"/>
    <w:unhideWhenUsed/>
    <w:rsid w:val="00B30DD6"/>
    <w:rPr>
      <w:color w:val="0000FF" w:themeColor="hyperlink"/>
      <w:u w:val="single"/>
    </w:rPr>
  </w:style>
  <w:style w:type="paragraph" w:styleId="NormalWeb">
    <w:name w:val="Normal (Web)"/>
    <w:basedOn w:val="Normal"/>
    <w:uiPriority w:val="99"/>
    <w:unhideWhenUsed/>
    <w:rsid w:val="006441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tinomjer.ba/predizborna_obecanja/opci-izbori/2018-2022/vlada-rs/oblast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stinomjer.ba/predizborna_obecanja/opci-izbori/2018-2022/vijece-ministara-bih/oblas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tinomjer.ba/app/uploads/2021/04/ekspoze_edin_forto_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tinomjer.ba/predizborna_obecanja/opci-izbori/2018-2022/kanton-sarajevo/vlada-kantona-sarajevo-ns-nip-sdp" TargetMode="External"/><Relationship Id="rId4" Type="http://schemas.openxmlformats.org/officeDocument/2006/relationships/webSettings" Target="webSettings.xml"/><Relationship Id="rId9" Type="http://schemas.openxmlformats.org/officeDocument/2006/relationships/hyperlink" Target="https://istinomjer.ba/app/uploads/2021/04/ekspoze_edin_forto_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zastone.b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istinomjer.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ucR/cvpov+pvk5ZOCBL2H+RTw==">AMUW2mWoMsqNuYIQmOJtjZNd2AH88PlXJbw2/Yxjkv3/7vFO7SlfDaZ0RxD1pjgdpl0mxZhdmn0mY2mcQakpgXe/jS/lK4KsKqN/DjaqCv2ZnN7oakLKEsuvzyjMlUuSSOzhp7XbWHbV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Dalio Sijah</dc:creator>
  <cp:lastModifiedBy>Dalio Sijah</cp:lastModifiedBy>
  <cp:revision>3</cp:revision>
  <dcterms:created xsi:type="dcterms:W3CDTF">2022-09-01T05:43:00Z</dcterms:created>
  <dcterms:modified xsi:type="dcterms:W3CDTF">2022-09-01T05:50:00Z</dcterms:modified>
</cp:coreProperties>
</file>